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07" w:rsidRPr="008F73EE" w:rsidRDefault="00145BBB" w:rsidP="008F73EE">
      <w:pPr>
        <w:jc w:val="center"/>
        <w:rPr>
          <w:sz w:val="32"/>
          <w:szCs w:val="32"/>
          <w:u w:val="single"/>
          <w:lang w:val="de-AT"/>
        </w:rPr>
      </w:pPr>
      <w:r>
        <w:rPr>
          <w:sz w:val="32"/>
          <w:szCs w:val="32"/>
          <w:u w:val="single"/>
          <w:lang w:val="de-AT"/>
        </w:rPr>
        <w:t>Gesetzesvorschlag zur buchtechnischen Bankensanierung</w:t>
      </w:r>
    </w:p>
    <w:p w:rsidR="008F73EE" w:rsidRDefault="008F73EE">
      <w:pPr>
        <w:rPr>
          <w:lang w:val="de-AT"/>
        </w:rPr>
      </w:pPr>
    </w:p>
    <w:p w:rsidR="00DC7EFF" w:rsidRDefault="00DC7EFF" w:rsidP="00BF28C9">
      <w:pPr>
        <w:jc w:val="both"/>
        <w:rPr>
          <w:lang w:val="de-AT"/>
        </w:rPr>
      </w:pPr>
      <w:r>
        <w:rPr>
          <w:lang w:val="de-AT"/>
        </w:rPr>
        <w:t xml:space="preserve">Der </w:t>
      </w:r>
      <w:proofErr w:type="spellStart"/>
      <w:r>
        <w:rPr>
          <w:lang w:val="de-AT"/>
        </w:rPr>
        <w:t>Debt</w:t>
      </w:r>
      <w:proofErr w:type="spellEnd"/>
      <w:r>
        <w:rPr>
          <w:lang w:val="de-AT"/>
        </w:rPr>
        <w:t xml:space="preserve"> Equity Swap stellt die Umwandlung von bilanziellen „Schulden“ (</w:t>
      </w:r>
      <w:proofErr w:type="spellStart"/>
      <w:r>
        <w:rPr>
          <w:lang w:val="de-AT"/>
        </w:rPr>
        <w:t>Debt</w:t>
      </w:r>
      <w:proofErr w:type="spellEnd"/>
      <w:r>
        <w:rPr>
          <w:lang w:val="de-AT"/>
        </w:rPr>
        <w:t xml:space="preserve">) in eine Direktbeteiligung des Gläubigers am Unternehmen des Schuldners (Equity) dar und wird routinemäßig im Zuge von Insolvenzverfahren an realwirtschaftlichen Unternehmen (v.a. von Banken bzw. von Industrieländern an Schwellenländern) durchgeführt (siehe z.B. </w:t>
      </w:r>
      <w:hyperlink r:id="rId8" w:history="1">
        <w:r w:rsidRPr="004A004D">
          <w:rPr>
            <w:rStyle w:val="Hyperlink"/>
            <w:lang w:val="de-AT"/>
          </w:rPr>
          <w:t>http://www.wirtschaftslexikon24.com/d/debt-equity-swap/debt-equity-swap.htm</w:t>
        </w:r>
      </w:hyperlink>
      <w:r>
        <w:rPr>
          <w:lang w:val="de-AT"/>
        </w:rPr>
        <w:t xml:space="preserve"> bzw. </w:t>
      </w:r>
      <w:proofErr w:type="spellStart"/>
      <w:r>
        <w:rPr>
          <w:lang w:val="de-AT"/>
        </w:rPr>
        <w:t>google</w:t>
      </w:r>
      <w:proofErr w:type="spellEnd"/>
      <w:r>
        <w:rPr>
          <w:lang w:val="de-AT"/>
        </w:rPr>
        <w:t xml:space="preserve"> „</w:t>
      </w:r>
      <w:proofErr w:type="spellStart"/>
      <w:r>
        <w:rPr>
          <w:lang w:val="de-AT"/>
        </w:rPr>
        <w:t>Debt</w:t>
      </w:r>
      <w:proofErr w:type="spellEnd"/>
      <w:r>
        <w:rPr>
          <w:lang w:val="de-AT"/>
        </w:rPr>
        <w:t xml:space="preserve"> Equity Swap“). Er stellt die letzte Stufe der Enteignung der Realwirtschaft durch die Finanzwirtschaft dar, wenn eine Schein-Forderung, die durch wertloses „Fiat Money“ (das „geschöpft“ und niemals „verliehen“ wird) in einen Eigentumsanteil transferiert wird.</w:t>
      </w:r>
    </w:p>
    <w:p w:rsidR="00DC7EFF" w:rsidRDefault="00DC7EFF" w:rsidP="00BF28C9">
      <w:pPr>
        <w:jc w:val="both"/>
        <w:rPr>
          <w:lang w:val="de-AT"/>
        </w:rPr>
      </w:pPr>
    </w:p>
    <w:p w:rsidR="00DC7EFF" w:rsidRPr="0038033C" w:rsidRDefault="00DC7EFF" w:rsidP="00BF28C9">
      <w:pPr>
        <w:jc w:val="both"/>
        <w:rPr>
          <w:sz w:val="28"/>
          <w:szCs w:val="28"/>
          <w:u w:val="single"/>
          <w:lang w:val="de-AT"/>
        </w:rPr>
      </w:pPr>
      <w:r w:rsidRPr="0038033C">
        <w:rPr>
          <w:sz w:val="28"/>
          <w:szCs w:val="28"/>
          <w:u w:val="single"/>
          <w:lang w:val="de-AT"/>
        </w:rPr>
        <w:t>Prolog: Zur sogenannten Insolvenz von Nationalstaaten</w:t>
      </w:r>
    </w:p>
    <w:p w:rsidR="00DC7EFF" w:rsidRDefault="00DC7EFF" w:rsidP="00BF28C9">
      <w:pPr>
        <w:jc w:val="both"/>
        <w:rPr>
          <w:lang w:val="de-AT"/>
        </w:rPr>
      </w:pPr>
      <w:r>
        <w:rPr>
          <w:lang w:val="de-AT"/>
        </w:rPr>
        <w:t>Dass Nationalstaaten (entgegen diesbezüglicher Versuche der Bankenlobby) schon aus rein logischen Gründen niemals „insolvent“ werden können, ergibt sich aus folgenden Überlegungen:</w:t>
      </w:r>
    </w:p>
    <w:p w:rsidR="00DC7EFF" w:rsidRDefault="00DC7EFF" w:rsidP="00BF28C9">
      <w:pPr>
        <w:jc w:val="both"/>
        <w:rPr>
          <w:lang w:val="de-AT"/>
        </w:rPr>
      </w:pPr>
    </w:p>
    <w:p w:rsidR="00DC7EFF" w:rsidRPr="001C6CF2" w:rsidRDefault="00DC7EFF" w:rsidP="00DC7EFF">
      <w:pPr>
        <w:pStyle w:val="Listenabsatz"/>
        <w:numPr>
          <w:ilvl w:val="0"/>
          <w:numId w:val="2"/>
        </w:numPr>
        <w:jc w:val="both"/>
        <w:rPr>
          <w:u w:val="single"/>
          <w:lang w:val="de-AT"/>
        </w:rPr>
      </w:pPr>
      <w:r w:rsidRPr="001C6CF2">
        <w:rPr>
          <w:u w:val="single"/>
          <w:lang w:val="de-AT"/>
        </w:rPr>
        <w:t>Der Nationalstaat als Gesetzgeber</w:t>
      </w:r>
    </w:p>
    <w:p w:rsidR="00DC7EFF" w:rsidRDefault="00DC7EFF" w:rsidP="00DC7EFF">
      <w:pPr>
        <w:jc w:val="both"/>
        <w:rPr>
          <w:lang w:val="de-AT"/>
        </w:rPr>
      </w:pPr>
      <w:r>
        <w:rPr>
          <w:lang w:val="de-AT"/>
        </w:rPr>
        <w:t>Wenn der Nationalstaat als Gesetzgeber fungiert, so steht er damit (als öffentlich-rechtliche Körperschaft) natürlich auch über dem Handelsrecht, somit auch über dem Insolvenzrecht, womit dieses auf ihn selbst auch nicht anwendbar ist.</w:t>
      </w:r>
    </w:p>
    <w:p w:rsidR="00DC7EFF" w:rsidRDefault="00DC7EFF" w:rsidP="00DC7EFF">
      <w:pPr>
        <w:jc w:val="both"/>
        <w:rPr>
          <w:lang w:val="de-AT"/>
        </w:rPr>
      </w:pPr>
    </w:p>
    <w:p w:rsidR="00DC7EFF" w:rsidRPr="001C6CF2" w:rsidRDefault="00DC7EFF" w:rsidP="00DC7EFF">
      <w:pPr>
        <w:pStyle w:val="Listenabsatz"/>
        <w:numPr>
          <w:ilvl w:val="0"/>
          <w:numId w:val="2"/>
        </w:numPr>
        <w:jc w:val="both"/>
        <w:rPr>
          <w:u w:val="single"/>
          <w:lang w:val="de-AT"/>
        </w:rPr>
      </w:pPr>
      <w:r w:rsidRPr="001C6CF2">
        <w:rPr>
          <w:u w:val="single"/>
          <w:lang w:val="de-AT"/>
        </w:rPr>
        <w:t>Der Nationalstaat als handelsrechtliche Firma</w:t>
      </w:r>
    </w:p>
    <w:p w:rsidR="00DC7EFF" w:rsidRDefault="00DC7EFF" w:rsidP="00DC7EFF">
      <w:pPr>
        <w:jc w:val="both"/>
        <w:rPr>
          <w:lang w:val="de-AT"/>
        </w:rPr>
      </w:pPr>
      <w:r>
        <w:rPr>
          <w:lang w:val="de-AT"/>
        </w:rPr>
        <w:t xml:space="preserve">Sollte man die Nationalstaaten hingegen als handelsrechtliche Firmen betrachten (die damit auch dem Handelsrecht und somit auch dem Insolvenzrecht unterlägen), so stellen sich hingegen folgende Fragen: </w:t>
      </w:r>
    </w:p>
    <w:p w:rsidR="00DC7EFF" w:rsidRDefault="00DC7EFF" w:rsidP="00DC7EFF">
      <w:pPr>
        <w:pStyle w:val="Listenabsatz"/>
        <w:numPr>
          <w:ilvl w:val="0"/>
          <w:numId w:val="3"/>
        </w:numPr>
        <w:jc w:val="both"/>
        <w:rPr>
          <w:lang w:val="de-AT"/>
        </w:rPr>
      </w:pPr>
      <w:r>
        <w:rPr>
          <w:lang w:val="de-AT"/>
        </w:rPr>
        <w:t>Wer ist der wahre Gesetzgeber, der handels- und insolvenzrechtliche Regeln erzeugt und wie ist dieser (demokratisch oder wie sonst?) legitimiert?</w:t>
      </w:r>
    </w:p>
    <w:p w:rsidR="00DC7EFF" w:rsidRDefault="00DC7EFF" w:rsidP="00DC7EFF">
      <w:pPr>
        <w:pStyle w:val="Listenabsatz"/>
        <w:numPr>
          <w:ilvl w:val="0"/>
          <w:numId w:val="3"/>
        </w:numPr>
        <w:jc w:val="both"/>
        <w:rPr>
          <w:lang w:val="de-AT"/>
        </w:rPr>
      </w:pPr>
      <w:r>
        <w:rPr>
          <w:lang w:val="de-AT"/>
        </w:rPr>
        <w:t xml:space="preserve">Falls die Nationalstaaten den Status handelsrechtlicher Firmen besäßen, so wäre die Bevölkerung deren Personal. Das Personal besitzt in der Insolvenz aber Gläubiger- und niemals Schuldnerstatus. Es wären daher die rechtlichen Eigentümer er handelsrechtlichen (Staats-)Firmen ausfindig zu machen und in die Haftung zu bringen um die Forderungen des Personals (der Bevölkerung, als Teil der Gläubiger) zu erfüllen. </w:t>
      </w:r>
      <w:proofErr w:type="spellStart"/>
      <w:r>
        <w:rPr>
          <w:lang w:val="de-AT"/>
        </w:rPr>
        <w:t>Austeritäts</w:t>
      </w:r>
      <w:proofErr w:type="spellEnd"/>
      <w:r>
        <w:rPr>
          <w:lang w:val="de-AT"/>
        </w:rPr>
        <w:t xml:space="preserve">-Maßnahmen träfen jedenfalls das Personal, daher die Gläubiger und nicht die Schuldner (die rechtlichen Eigentümer der handelsrechtlichen Firmen, die als Nationalstaaten firmieren). </w:t>
      </w:r>
    </w:p>
    <w:p w:rsidR="00DC7EFF" w:rsidRDefault="00DC7EFF">
      <w:pPr>
        <w:rPr>
          <w:lang w:val="de-AT"/>
        </w:rPr>
      </w:pPr>
      <w:r>
        <w:rPr>
          <w:lang w:val="de-AT"/>
        </w:rPr>
        <w:br w:type="page"/>
      </w:r>
    </w:p>
    <w:p w:rsidR="00DC7EFF" w:rsidRPr="0038033C" w:rsidRDefault="0038033C" w:rsidP="00DC7EFF">
      <w:pPr>
        <w:jc w:val="both"/>
        <w:rPr>
          <w:sz w:val="28"/>
          <w:szCs w:val="28"/>
          <w:u w:val="single"/>
          <w:lang w:val="de-AT"/>
        </w:rPr>
      </w:pPr>
      <w:r w:rsidRPr="0038033C">
        <w:rPr>
          <w:sz w:val="28"/>
          <w:szCs w:val="28"/>
          <w:u w:val="single"/>
          <w:lang w:val="de-AT"/>
        </w:rPr>
        <w:lastRenderedPageBreak/>
        <w:t>Buchtechnische Bankensanierung ohne Einsatz von Steuergeld</w:t>
      </w:r>
    </w:p>
    <w:p w:rsidR="0038033C" w:rsidRDefault="0038033C" w:rsidP="00DC7EFF">
      <w:pPr>
        <w:jc w:val="both"/>
        <w:rPr>
          <w:lang w:val="de-AT"/>
        </w:rPr>
      </w:pPr>
    </w:p>
    <w:p w:rsidR="0038033C" w:rsidRDefault="0038033C" w:rsidP="00DC7EFF">
      <w:pPr>
        <w:jc w:val="both"/>
        <w:rPr>
          <w:lang w:val="de-AT"/>
        </w:rPr>
      </w:pPr>
      <w:r>
        <w:rPr>
          <w:lang w:val="de-AT"/>
        </w:rPr>
        <w:t>Die buchtechnische Sanierung realwirtschaftlicher Unternehmen (z.B. indem ein Bankkredit in eine Beteiligung der Bank am Unternehmen umgewandelt wird), erfolgt einfach durch Ausbuchung des Kredits (Sollseite) und entsprechende Erhöhung des Eigenkapitals (der Beteiligung der Bank, Passivseite):</w:t>
      </w:r>
    </w:p>
    <w:p w:rsidR="0038033C" w:rsidRPr="0038033C" w:rsidRDefault="0038033C" w:rsidP="00DC7EFF">
      <w:pPr>
        <w:jc w:val="both"/>
        <w:rPr>
          <w:b/>
          <w:lang w:val="de-AT"/>
        </w:rPr>
      </w:pPr>
      <w:r w:rsidRPr="0038033C">
        <w:rPr>
          <w:b/>
          <w:lang w:val="de-AT"/>
        </w:rPr>
        <w:t>Bankverbindlichkeit    an   Einlage Bank (Eigenkapital)</w:t>
      </w:r>
    </w:p>
    <w:p w:rsidR="0038033C" w:rsidRDefault="0038033C" w:rsidP="00DC7EFF">
      <w:pPr>
        <w:jc w:val="both"/>
        <w:rPr>
          <w:lang w:val="de-AT"/>
        </w:rPr>
      </w:pPr>
    </w:p>
    <w:p w:rsidR="0038033C" w:rsidRDefault="005C2816" w:rsidP="00DC7EFF">
      <w:pPr>
        <w:jc w:val="both"/>
        <w:rPr>
          <w:lang w:val="de-AT"/>
        </w:rPr>
      </w:pPr>
      <w:r>
        <w:rPr>
          <w:lang w:val="de-AT"/>
        </w:rPr>
        <w:t>Die Buchungstechnik vollzieht sich in folgenden drei Schritten:</w:t>
      </w:r>
    </w:p>
    <w:tbl>
      <w:tblPr>
        <w:tblW w:w="4791" w:type="dxa"/>
        <w:tblInd w:w="55" w:type="dxa"/>
        <w:tblCellMar>
          <w:left w:w="70" w:type="dxa"/>
          <w:right w:w="70" w:type="dxa"/>
        </w:tblCellMar>
        <w:tblLook w:val="04A0" w:firstRow="1" w:lastRow="0" w:firstColumn="1" w:lastColumn="0" w:noHBand="0" w:noVBand="1"/>
      </w:tblPr>
      <w:tblGrid>
        <w:gridCol w:w="4791"/>
      </w:tblGrid>
      <w:tr w:rsidR="005C2816" w:rsidRPr="005C2816" w:rsidTr="005C2816">
        <w:trPr>
          <w:trHeight w:val="300"/>
        </w:trPr>
        <w:tc>
          <w:tcPr>
            <w:tcW w:w="4791"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b/>
                <w:bCs/>
                <w:color w:val="000000"/>
                <w:lang w:val="de-AT" w:eastAsia="de-AT"/>
              </w:rPr>
            </w:pPr>
            <w:r w:rsidRPr="005C2816">
              <w:rPr>
                <w:rFonts w:ascii="Calibri" w:eastAsia="Times New Roman" w:hAnsi="Calibri" w:cs="Times New Roman"/>
                <w:b/>
                <w:bCs/>
                <w:color w:val="000000"/>
                <w:lang w:val="de-AT" w:eastAsia="de-AT"/>
              </w:rPr>
              <w:t>1) Ausfall der Kreditforderung:</w:t>
            </w:r>
          </w:p>
        </w:tc>
      </w:tr>
      <w:tr w:rsidR="005C2816" w:rsidRPr="005C2816" w:rsidTr="005C2816">
        <w:trPr>
          <w:trHeight w:val="300"/>
        </w:trPr>
        <w:tc>
          <w:tcPr>
            <w:tcW w:w="4791"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p>
        </w:tc>
      </w:tr>
      <w:tr w:rsidR="005C2816" w:rsidRPr="005C2816" w:rsidTr="005C2816">
        <w:trPr>
          <w:trHeight w:val="300"/>
        </w:trPr>
        <w:tc>
          <w:tcPr>
            <w:tcW w:w="4791"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 xml:space="preserve">Aufwand an Forderung  </w:t>
            </w:r>
          </w:p>
        </w:tc>
      </w:tr>
      <w:tr w:rsidR="005C2816" w:rsidRPr="005C2816" w:rsidTr="005C2816">
        <w:trPr>
          <w:trHeight w:val="300"/>
        </w:trPr>
        <w:tc>
          <w:tcPr>
            <w:tcW w:w="4791"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i/>
                <w:iCs/>
                <w:color w:val="000000"/>
                <w:lang w:val="de-AT" w:eastAsia="de-AT"/>
              </w:rPr>
            </w:pPr>
            <w:r w:rsidRPr="005C2816">
              <w:rPr>
                <w:rFonts w:ascii="Calibri" w:eastAsia="Times New Roman" w:hAnsi="Calibri" w:cs="Times New Roman"/>
                <w:i/>
                <w:iCs/>
                <w:color w:val="000000"/>
                <w:lang w:val="de-AT" w:eastAsia="de-AT"/>
              </w:rPr>
              <w:t xml:space="preserve"> = Bilanzverkürzung</w:t>
            </w:r>
          </w:p>
        </w:tc>
      </w:tr>
      <w:tr w:rsidR="005C2816" w:rsidRPr="005C2816" w:rsidTr="005C2816">
        <w:trPr>
          <w:trHeight w:val="300"/>
        </w:trPr>
        <w:tc>
          <w:tcPr>
            <w:tcW w:w="4791"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p>
        </w:tc>
      </w:tr>
      <w:tr w:rsidR="005C2816" w:rsidRPr="005C2816" w:rsidTr="005C2816">
        <w:trPr>
          <w:trHeight w:val="300"/>
        </w:trPr>
        <w:tc>
          <w:tcPr>
            <w:tcW w:w="4791"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b/>
                <w:bCs/>
                <w:color w:val="000000"/>
                <w:lang w:val="de-AT" w:eastAsia="de-AT"/>
              </w:rPr>
            </w:pPr>
            <w:r w:rsidRPr="005C2816">
              <w:rPr>
                <w:rFonts w:ascii="Calibri" w:eastAsia="Times New Roman" w:hAnsi="Calibri" w:cs="Times New Roman"/>
                <w:b/>
                <w:bCs/>
                <w:color w:val="000000"/>
                <w:lang w:val="de-AT" w:eastAsia="de-AT"/>
              </w:rPr>
              <w:t>2) Auflösung der "Sichteinlage" (= Verbindlichkeit)</w:t>
            </w:r>
          </w:p>
        </w:tc>
      </w:tr>
      <w:tr w:rsidR="005C2816" w:rsidRPr="005C2816" w:rsidTr="005C2816">
        <w:trPr>
          <w:trHeight w:val="300"/>
        </w:trPr>
        <w:tc>
          <w:tcPr>
            <w:tcW w:w="4791"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b/>
                <w:bCs/>
                <w:color w:val="000000"/>
                <w:lang w:val="de-AT" w:eastAsia="de-AT"/>
              </w:rPr>
            </w:pPr>
            <w:r w:rsidRPr="005C2816">
              <w:rPr>
                <w:rFonts w:ascii="Calibri" w:eastAsia="Times New Roman" w:hAnsi="Calibri" w:cs="Times New Roman"/>
                <w:b/>
                <w:bCs/>
                <w:color w:val="000000"/>
                <w:lang w:val="de-AT" w:eastAsia="de-AT"/>
              </w:rPr>
              <w:t>auf Bilanzebene:</w:t>
            </w:r>
          </w:p>
        </w:tc>
      </w:tr>
      <w:tr w:rsidR="005C2816" w:rsidRPr="005C2816" w:rsidTr="005C2816">
        <w:trPr>
          <w:trHeight w:val="300"/>
        </w:trPr>
        <w:tc>
          <w:tcPr>
            <w:tcW w:w="4791"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p>
        </w:tc>
      </w:tr>
      <w:tr w:rsidR="005C2816" w:rsidRPr="005C2816" w:rsidTr="005C2816">
        <w:trPr>
          <w:trHeight w:val="300"/>
        </w:trPr>
        <w:tc>
          <w:tcPr>
            <w:tcW w:w="4791"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 xml:space="preserve">Verbindlichkeit </w:t>
            </w:r>
            <w:proofErr w:type="spellStart"/>
            <w:r w:rsidRPr="005C2816">
              <w:rPr>
                <w:rFonts w:ascii="Calibri" w:eastAsia="Times New Roman" w:hAnsi="Calibri" w:cs="Times New Roman"/>
                <w:color w:val="000000"/>
                <w:lang w:val="de-AT" w:eastAsia="de-AT"/>
              </w:rPr>
              <w:t>ggü</w:t>
            </w:r>
            <w:proofErr w:type="spellEnd"/>
            <w:r w:rsidRPr="005C2816">
              <w:rPr>
                <w:rFonts w:ascii="Calibri" w:eastAsia="Times New Roman" w:hAnsi="Calibri" w:cs="Times New Roman"/>
                <w:color w:val="000000"/>
                <w:lang w:val="de-AT" w:eastAsia="de-AT"/>
              </w:rPr>
              <w:t xml:space="preserve"> Kunden an </w:t>
            </w:r>
            <w:proofErr w:type="spellStart"/>
            <w:r w:rsidRPr="005C2816">
              <w:rPr>
                <w:rFonts w:ascii="Calibri" w:eastAsia="Times New Roman" w:hAnsi="Calibri" w:cs="Times New Roman"/>
                <w:color w:val="000000"/>
                <w:lang w:val="de-AT" w:eastAsia="de-AT"/>
              </w:rPr>
              <w:t>ao</w:t>
            </w:r>
            <w:proofErr w:type="spellEnd"/>
            <w:r w:rsidRPr="005C2816">
              <w:rPr>
                <w:rFonts w:ascii="Calibri" w:eastAsia="Times New Roman" w:hAnsi="Calibri" w:cs="Times New Roman"/>
                <w:color w:val="000000"/>
                <w:lang w:val="de-AT" w:eastAsia="de-AT"/>
              </w:rPr>
              <w:t>. Ertrag</w:t>
            </w:r>
          </w:p>
        </w:tc>
      </w:tr>
      <w:tr w:rsidR="005C2816" w:rsidRPr="005C2816" w:rsidTr="005C2816">
        <w:trPr>
          <w:trHeight w:val="300"/>
        </w:trPr>
        <w:tc>
          <w:tcPr>
            <w:tcW w:w="4791"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i/>
                <w:iCs/>
                <w:color w:val="000000"/>
                <w:lang w:val="de-AT" w:eastAsia="de-AT"/>
              </w:rPr>
            </w:pPr>
            <w:r w:rsidRPr="005C2816">
              <w:rPr>
                <w:rFonts w:ascii="Calibri" w:eastAsia="Times New Roman" w:hAnsi="Calibri" w:cs="Times New Roman"/>
                <w:i/>
                <w:iCs/>
                <w:color w:val="000000"/>
                <w:lang w:val="de-AT" w:eastAsia="de-AT"/>
              </w:rPr>
              <w:t xml:space="preserve"> =  Passivtausch</w:t>
            </w:r>
          </w:p>
        </w:tc>
      </w:tr>
      <w:tr w:rsidR="005C2816" w:rsidRPr="005C2816" w:rsidTr="005C2816">
        <w:trPr>
          <w:trHeight w:val="300"/>
        </w:trPr>
        <w:tc>
          <w:tcPr>
            <w:tcW w:w="4791"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p>
        </w:tc>
      </w:tr>
      <w:tr w:rsidR="005C2816" w:rsidRPr="005C2816" w:rsidTr="005C2816">
        <w:trPr>
          <w:trHeight w:val="300"/>
        </w:trPr>
        <w:tc>
          <w:tcPr>
            <w:tcW w:w="4791"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b/>
                <w:bCs/>
                <w:color w:val="000000"/>
                <w:lang w:val="de-AT" w:eastAsia="de-AT"/>
              </w:rPr>
            </w:pPr>
            <w:r w:rsidRPr="005C2816">
              <w:rPr>
                <w:rFonts w:ascii="Calibri" w:eastAsia="Times New Roman" w:hAnsi="Calibri" w:cs="Times New Roman"/>
                <w:b/>
                <w:bCs/>
                <w:color w:val="000000"/>
                <w:lang w:val="de-AT" w:eastAsia="de-AT"/>
              </w:rPr>
              <w:t>3) Dotierung der Umlaufsicherungsrücklage</w:t>
            </w:r>
          </w:p>
        </w:tc>
      </w:tr>
      <w:tr w:rsidR="005C2816" w:rsidRPr="005C2816" w:rsidTr="005C2816">
        <w:trPr>
          <w:trHeight w:val="300"/>
        </w:trPr>
        <w:tc>
          <w:tcPr>
            <w:tcW w:w="4791"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p>
        </w:tc>
      </w:tr>
      <w:tr w:rsidR="005C2816" w:rsidRPr="005C2816" w:rsidTr="005C2816">
        <w:trPr>
          <w:trHeight w:val="300"/>
        </w:trPr>
        <w:tc>
          <w:tcPr>
            <w:tcW w:w="4791"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 xml:space="preserve">Dotierung Rücklage an Rücklage zur Umlaufsicherung </w:t>
            </w:r>
          </w:p>
        </w:tc>
      </w:tr>
      <w:tr w:rsidR="005C2816" w:rsidRPr="005C2816" w:rsidTr="005C2816">
        <w:trPr>
          <w:trHeight w:val="300"/>
        </w:trPr>
        <w:tc>
          <w:tcPr>
            <w:tcW w:w="4791"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i/>
                <w:iCs/>
                <w:color w:val="000000"/>
                <w:lang w:val="de-AT" w:eastAsia="de-AT"/>
              </w:rPr>
            </w:pPr>
            <w:r w:rsidRPr="005C2816">
              <w:rPr>
                <w:rFonts w:ascii="Calibri" w:eastAsia="Times New Roman" w:hAnsi="Calibri" w:cs="Times New Roman"/>
                <w:i/>
                <w:iCs/>
                <w:color w:val="000000"/>
                <w:lang w:val="de-AT" w:eastAsia="de-AT"/>
              </w:rPr>
              <w:t xml:space="preserve"> = Gewinnverwendungsrechnung</w:t>
            </w:r>
          </w:p>
        </w:tc>
      </w:tr>
    </w:tbl>
    <w:p w:rsidR="005C2816" w:rsidRDefault="005C2816" w:rsidP="00DC7EFF">
      <w:pPr>
        <w:jc w:val="both"/>
        <w:rPr>
          <w:lang w:val="de-AT"/>
        </w:rPr>
      </w:pPr>
    </w:p>
    <w:p w:rsidR="005C2816" w:rsidRDefault="005C2816" w:rsidP="00DC7EFF">
      <w:pPr>
        <w:jc w:val="both"/>
        <w:rPr>
          <w:lang w:val="de-AT"/>
        </w:rPr>
      </w:pPr>
      <w:r>
        <w:rPr>
          <w:lang w:val="de-AT"/>
        </w:rPr>
        <w:t xml:space="preserve">Schritt (2) stellt den eigentlichen </w:t>
      </w:r>
      <w:proofErr w:type="spellStart"/>
      <w:r>
        <w:rPr>
          <w:lang w:val="de-AT"/>
        </w:rPr>
        <w:t>Debt</w:t>
      </w:r>
      <w:proofErr w:type="spellEnd"/>
      <w:r>
        <w:rPr>
          <w:lang w:val="de-AT"/>
        </w:rPr>
        <w:t xml:space="preserve"> Equity Swap dar, durch welchen sich der entsprechende Betrag an Giralgeld inhaltlich in </w:t>
      </w:r>
      <w:proofErr w:type="spellStart"/>
      <w:r>
        <w:rPr>
          <w:lang w:val="de-AT"/>
        </w:rPr>
        <w:t>Vollgeld</w:t>
      </w:r>
      <w:proofErr w:type="spellEnd"/>
      <w:r>
        <w:rPr>
          <w:lang w:val="de-AT"/>
        </w:rPr>
        <w:t xml:space="preserve"> umwandelt (aus einem Bankenschuldschein wird Eigentum des Bankkunden bzw. des Staates als Repräsentant der Bevölkerung). </w:t>
      </w:r>
    </w:p>
    <w:p w:rsidR="005C2816" w:rsidRDefault="005C2816" w:rsidP="00DC7EFF">
      <w:pPr>
        <w:jc w:val="both"/>
        <w:rPr>
          <w:lang w:val="de-AT"/>
        </w:rPr>
      </w:pPr>
      <w:r>
        <w:rPr>
          <w:lang w:val="de-AT"/>
        </w:rPr>
        <w:t>Darstellung im Bilanzbild:</w:t>
      </w:r>
    </w:p>
    <w:tbl>
      <w:tblPr>
        <w:tblW w:w="7740" w:type="dxa"/>
        <w:tblInd w:w="55" w:type="dxa"/>
        <w:tblCellMar>
          <w:left w:w="70" w:type="dxa"/>
          <w:right w:w="70" w:type="dxa"/>
        </w:tblCellMar>
        <w:tblLook w:val="04A0" w:firstRow="1" w:lastRow="0" w:firstColumn="1" w:lastColumn="0" w:noHBand="0" w:noVBand="1"/>
      </w:tblPr>
      <w:tblGrid>
        <w:gridCol w:w="3460"/>
        <w:gridCol w:w="385"/>
        <w:gridCol w:w="320"/>
        <w:gridCol w:w="1200"/>
        <w:gridCol w:w="1200"/>
        <w:gridCol w:w="1200"/>
      </w:tblGrid>
      <w:tr w:rsidR="005C2816" w:rsidRPr="005C2816" w:rsidTr="005C2816">
        <w:trPr>
          <w:trHeight w:val="315"/>
        </w:trPr>
        <w:tc>
          <w:tcPr>
            <w:tcW w:w="3460" w:type="dxa"/>
            <w:tcBorders>
              <w:top w:val="nil"/>
              <w:left w:val="nil"/>
              <w:bottom w:val="single" w:sz="8" w:space="0" w:color="auto"/>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Aktiva</w:t>
            </w:r>
          </w:p>
        </w:tc>
        <w:tc>
          <w:tcPr>
            <w:tcW w:w="360" w:type="dxa"/>
            <w:tcBorders>
              <w:top w:val="nil"/>
              <w:left w:val="nil"/>
              <w:bottom w:val="single" w:sz="8" w:space="0" w:color="auto"/>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 </w:t>
            </w:r>
          </w:p>
        </w:tc>
        <w:tc>
          <w:tcPr>
            <w:tcW w:w="320" w:type="dxa"/>
            <w:tcBorders>
              <w:top w:val="nil"/>
              <w:left w:val="nil"/>
              <w:bottom w:val="single" w:sz="8" w:space="0" w:color="auto"/>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 </w:t>
            </w:r>
          </w:p>
        </w:tc>
        <w:tc>
          <w:tcPr>
            <w:tcW w:w="1200" w:type="dxa"/>
            <w:tcBorders>
              <w:top w:val="nil"/>
              <w:left w:val="nil"/>
              <w:bottom w:val="single" w:sz="8" w:space="0" w:color="auto"/>
              <w:right w:val="nil"/>
            </w:tcBorders>
            <w:shd w:val="clear" w:color="auto" w:fill="auto"/>
            <w:noWrap/>
            <w:vAlign w:val="bottom"/>
            <w:hideMark/>
          </w:tcPr>
          <w:p w:rsidR="005C2816" w:rsidRPr="005C2816" w:rsidRDefault="005C2816" w:rsidP="005C2816">
            <w:pPr>
              <w:spacing w:after="0" w:line="240" w:lineRule="auto"/>
              <w:jc w:val="right"/>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Passiva</w:t>
            </w:r>
          </w:p>
        </w:tc>
        <w:tc>
          <w:tcPr>
            <w:tcW w:w="1200" w:type="dxa"/>
            <w:tcBorders>
              <w:top w:val="nil"/>
              <w:left w:val="nil"/>
              <w:bottom w:val="single" w:sz="8" w:space="0" w:color="auto"/>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 </w:t>
            </w:r>
          </w:p>
        </w:tc>
        <w:tc>
          <w:tcPr>
            <w:tcW w:w="1200" w:type="dxa"/>
            <w:tcBorders>
              <w:top w:val="nil"/>
              <w:left w:val="nil"/>
              <w:bottom w:val="single" w:sz="8" w:space="0" w:color="auto"/>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 </w:t>
            </w:r>
          </w:p>
        </w:tc>
      </w:tr>
      <w:tr w:rsidR="005C2816" w:rsidRPr="005C2816" w:rsidTr="005C2816">
        <w:trPr>
          <w:trHeight w:val="300"/>
        </w:trPr>
        <w:tc>
          <w:tcPr>
            <w:tcW w:w="3460"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p>
        </w:tc>
        <w:tc>
          <w:tcPr>
            <w:tcW w:w="360" w:type="dxa"/>
            <w:tcBorders>
              <w:top w:val="nil"/>
              <w:left w:val="nil"/>
              <w:bottom w:val="nil"/>
              <w:right w:val="single" w:sz="8" w:space="0" w:color="auto"/>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 </w:t>
            </w:r>
          </w:p>
        </w:tc>
        <w:tc>
          <w:tcPr>
            <w:tcW w:w="320"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p>
        </w:tc>
        <w:tc>
          <w:tcPr>
            <w:tcW w:w="1200"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p>
        </w:tc>
        <w:tc>
          <w:tcPr>
            <w:tcW w:w="1200"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p>
        </w:tc>
        <w:tc>
          <w:tcPr>
            <w:tcW w:w="1200"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p>
        </w:tc>
      </w:tr>
      <w:tr w:rsidR="005C2816" w:rsidRPr="005C2816" w:rsidTr="005C2816">
        <w:trPr>
          <w:trHeight w:val="300"/>
        </w:trPr>
        <w:tc>
          <w:tcPr>
            <w:tcW w:w="3460"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 xml:space="preserve"> - Forderung</w:t>
            </w:r>
          </w:p>
        </w:tc>
        <w:tc>
          <w:tcPr>
            <w:tcW w:w="360" w:type="dxa"/>
            <w:tcBorders>
              <w:top w:val="nil"/>
              <w:left w:val="nil"/>
              <w:bottom w:val="nil"/>
              <w:right w:val="single" w:sz="8" w:space="0" w:color="auto"/>
            </w:tcBorders>
            <w:shd w:val="clear" w:color="auto" w:fill="auto"/>
            <w:noWrap/>
            <w:vAlign w:val="bottom"/>
            <w:hideMark/>
          </w:tcPr>
          <w:p w:rsidR="005C2816" w:rsidRPr="005C2816" w:rsidRDefault="005C2816" w:rsidP="005C2816">
            <w:pPr>
              <w:spacing w:after="0" w:line="240" w:lineRule="auto"/>
              <w:jc w:val="center"/>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(1)</w:t>
            </w:r>
          </w:p>
        </w:tc>
        <w:tc>
          <w:tcPr>
            <w:tcW w:w="320"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p>
        </w:tc>
        <w:tc>
          <w:tcPr>
            <w:tcW w:w="2400" w:type="dxa"/>
            <w:gridSpan w:val="2"/>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 xml:space="preserve"> - Eigenkapital</w:t>
            </w:r>
          </w:p>
        </w:tc>
        <w:tc>
          <w:tcPr>
            <w:tcW w:w="1200"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p>
        </w:tc>
      </w:tr>
      <w:tr w:rsidR="005C2816" w:rsidRPr="005C2816" w:rsidTr="005C2816">
        <w:trPr>
          <w:trHeight w:val="300"/>
        </w:trPr>
        <w:tc>
          <w:tcPr>
            <w:tcW w:w="3460"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p>
        </w:tc>
        <w:tc>
          <w:tcPr>
            <w:tcW w:w="360" w:type="dxa"/>
            <w:tcBorders>
              <w:top w:val="nil"/>
              <w:left w:val="nil"/>
              <w:bottom w:val="nil"/>
              <w:right w:val="single" w:sz="8" w:space="0" w:color="auto"/>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 </w:t>
            </w:r>
          </w:p>
        </w:tc>
        <w:tc>
          <w:tcPr>
            <w:tcW w:w="320"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p>
        </w:tc>
        <w:tc>
          <w:tcPr>
            <w:tcW w:w="1200"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p>
        </w:tc>
        <w:tc>
          <w:tcPr>
            <w:tcW w:w="1200"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p>
        </w:tc>
        <w:tc>
          <w:tcPr>
            <w:tcW w:w="1200" w:type="dxa"/>
            <w:tcBorders>
              <w:top w:val="nil"/>
              <w:left w:val="nil"/>
              <w:bottom w:val="nil"/>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p>
        </w:tc>
      </w:tr>
      <w:tr w:rsidR="005C2816" w:rsidRPr="005C2816" w:rsidTr="005C2816">
        <w:trPr>
          <w:trHeight w:val="315"/>
        </w:trPr>
        <w:tc>
          <w:tcPr>
            <w:tcW w:w="3460" w:type="dxa"/>
            <w:tcBorders>
              <w:top w:val="nil"/>
              <w:left w:val="nil"/>
              <w:bottom w:val="single" w:sz="8" w:space="0" w:color="auto"/>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 </w:t>
            </w:r>
          </w:p>
        </w:tc>
        <w:tc>
          <w:tcPr>
            <w:tcW w:w="360" w:type="dxa"/>
            <w:tcBorders>
              <w:top w:val="nil"/>
              <w:left w:val="nil"/>
              <w:bottom w:val="single" w:sz="8" w:space="0" w:color="auto"/>
              <w:right w:val="single" w:sz="8" w:space="0" w:color="auto"/>
            </w:tcBorders>
            <w:shd w:val="clear" w:color="auto" w:fill="auto"/>
            <w:noWrap/>
            <w:vAlign w:val="bottom"/>
            <w:hideMark/>
          </w:tcPr>
          <w:p w:rsidR="005C2816" w:rsidRPr="005C2816" w:rsidRDefault="005C2816" w:rsidP="005C2816">
            <w:pPr>
              <w:spacing w:after="0" w:line="240" w:lineRule="auto"/>
              <w:jc w:val="center"/>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(2)</w:t>
            </w:r>
          </w:p>
        </w:tc>
        <w:tc>
          <w:tcPr>
            <w:tcW w:w="320" w:type="dxa"/>
            <w:tcBorders>
              <w:top w:val="nil"/>
              <w:left w:val="nil"/>
              <w:bottom w:val="single" w:sz="8" w:space="0" w:color="auto"/>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 </w:t>
            </w:r>
          </w:p>
        </w:tc>
        <w:tc>
          <w:tcPr>
            <w:tcW w:w="3600" w:type="dxa"/>
            <w:gridSpan w:val="3"/>
            <w:tcBorders>
              <w:top w:val="nil"/>
              <w:left w:val="nil"/>
              <w:bottom w:val="single" w:sz="8" w:space="0" w:color="auto"/>
              <w:right w:val="nil"/>
            </w:tcBorders>
            <w:shd w:val="clear" w:color="auto" w:fill="auto"/>
            <w:noWrap/>
            <w:vAlign w:val="bottom"/>
            <w:hideMark/>
          </w:tcPr>
          <w:p w:rsidR="005C2816" w:rsidRPr="005C2816" w:rsidRDefault="005C2816" w:rsidP="005C2816">
            <w:pPr>
              <w:spacing w:after="0" w:line="240" w:lineRule="auto"/>
              <w:rPr>
                <w:rFonts w:ascii="Calibri" w:eastAsia="Times New Roman" w:hAnsi="Calibri" w:cs="Times New Roman"/>
                <w:color w:val="000000"/>
                <w:lang w:val="de-AT" w:eastAsia="de-AT"/>
              </w:rPr>
            </w:pPr>
            <w:r w:rsidRPr="005C2816">
              <w:rPr>
                <w:rFonts w:ascii="Calibri" w:eastAsia="Times New Roman" w:hAnsi="Calibri" w:cs="Times New Roman"/>
                <w:color w:val="000000"/>
                <w:lang w:val="de-AT" w:eastAsia="de-AT"/>
              </w:rPr>
              <w:t xml:space="preserve"> - Verbindlichkeit + Eigenkapital</w:t>
            </w:r>
          </w:p>
        </w:tc>
      </w:tr>
    </w:tbl>
    <w:p w:rsidR="005C2816" w:rsidRDefault="005C2816" w:rsidP="00DC7EFF">
      <w:pPr>
        <w:jc w:val="both"/>
        <w:rPr>
          <w:lang w:val="de-AT"/>
        </w:rPr>
      </w:pPr>
    </w:p>
    <w:p w:rsidR="005C2816" w:rsidRDefault="005C2816">
      <w:pPr>
        <w:rPr>
          <w:lang w:val="de-AT"/>
        </w:rPr>
      </w:pPr>
      <w:r>
        <w:rPr>
          <w:lang w:val="de-AT"/>
        </w:rPr>
        <w:br w:type="page"/>
      </w:r>
    </w:p>
    <w:p w:rsidR="005C2816" w:rsidRPr="00F36965" w:rsidRDefault="00F36965" w:rsidP="00DC7EFF">
      <w:pPr>
        <w:jc w:val="both"/>
        <w:rPr>
          <w:sz w:val="28"/>
          <w:szCs w:val="28"/>
          <w:u w:val="single"/>
          <w:lang w:val="de-AT"/>
        </w:rPr>
      </w:pPr>
      <w:r w:rsidRPr="00F36965">
        <w:rPr>
          <w:sz w:val="28"/>
          <w:szCs w:val="28"/>
          <w:u w:val="single"/>
          <w:lang w:val="de-AT"/>
        </w:rPr>
        <w:lastRenderedPageBreak/>
        <w:t>Musterhafte Gesetzesformulierung</w:t>
      </w:r>
    </w:p>
    <w:p w:rsidR="00F36965" w:rsidRDefault="00F36965" w:rsidP="00DC7EFF">
      <w:pPr>
        <w:jc w:val="both"/>
        <w:rPr>
          <w:lang w:val="de-AT"/>
        </w:rPr>
      </w:pPr>
    </w:p>
    <w:p w:rsidR="00F36965" w:rsidRDefault="00F36965" w:rsidP="00DC7EFF">
      <w:pPr>
        <w:jc w:val="both"/>
        <w:rPr>
          <w:lang w:val="de-AT"/>
        </w:rPr>
      </w:pPr>
      <w:r>
        <w:rPr>
          <w:lang w:val="de-AT"/>
        </w:rPr>
        <w:t xml:space="preserve">Die gesetzliche Umsetzung (in dem entsprechenden Kredit- oder </w:t>
      </w:r>
      <w:proofErr w:type="spellStart"/>
      <w:r>
        <w:rPr>
          <w:lang w:val="de-AT"/>
        </w:rPr>
        <w:t>Bankwesengesetz</w:t>
      </w:r>
      <w:proofErr w:type="spellEnd"/>
      <w:r>
        <w:rPr>
          <w:lang w:val="de-AT"/>
        </w:rPr>
        <w:t>) könnte wie folgt lauten:</w:t>
      </w:r>
    </w:p>
    <w:p w:rsidR="00F36965" w:rsidRDefault="00F36965" w:rsidP="00DC7EFF">
      <w:pPr>
        <w:jc w:val="both"/>
        <w:rPr>
          <w:lang w:val="de-AT"/>
        </w:rPr>
      </w:pPr>
      <w:r>
        <w:rPr>
          <w:lang w:val="de-AT"/>
        </w:rPr>
        <w:t>§ XY Buchtechnische Bankensanierung</w:t>
      </w:r>
    </w:p>
    <w:p w:rsidR="00F36965" w:rsidRDefault="00F36965" w:rsidP="00F36965">
      <w:pPr>
        <w:pStyle w:val="Listenabsatz"/>
        <w:numPr>
          <w:ilvl w:val="0"/>
          <w:numId w:val="4"/>
        </w:numPr>
        <w:jc w:val="both"/>
        <w:rPr>
          <w:lang w:val="de-AT"/>
        </w:rPr>
      </w:pPr>
      <w:r>
        <w:rPr>
          <w:lang w:val="de-AT"/>
        </w:rPr>
        <w:t xml:space="preserve">Wenn </w:t>
      </w:r>
      <w:r w:rsidR="00302115">
        <w:rPr>
          <w:lang w:val="de-AT"/>
        </w:rPr>
        <w:t xml:space="preserve">bei </w:t>
      </w:r>
      <w:r>
        <w:rPr>
          <w:lang w:val="de-AT"/>
        </w:rPr>
        <w:t xml:space="preserve">einer Bank bzw. </w:t>
      </w:r>
      <w:r w:rsidR="00302115">
        <w:rPr>
          <w:lang w:val="de-AT"/>
        </w:rPr>
        <w:t xml:space="preserve">einem Kreditinstitut mehr als X% der Kredite als uneinbringlich abgeschrieben werden müssen, so muss ein diesem Betrag entsprechender Wert zum Jahresende der „Verbindlichkeiten gegenüber Kunden“ als außerordentlicher Ertrag aufgelöst werden. Zugleich ist dieser Betrag im Rahmen der Gewinnverwendungsrechnung als gebundene Rücklage („Umlaufsicherungsrücklage“) in die Bilanz einzustellen. Es handelt sich bei diesem neuen Eigenkapital um (anteiliges) Eigentum des Staates bzw. der Bankkunden. </w:t>
      </w:r>
    </w:p>
    <w:p w:rsidR="00302115" w:rsidRDefault="00302115" w:rsidP="00302115">
      <w:pPr>
        <w:jc w:val="both"/>
        <w:rPr>
          <w:lang w:val="de-AT"/>
        </w:rPr>
      </w:pPr>
    </w:p>
    <w:p w:rsidR="00302115" w:rsidRDefault="00302115" w:rsidP="00302115">
      <w:pPr>
        <w:jc w:val="both"/>
        <w:rPr>
          <w:lang w:val="de-AT"/>
        </w:rPr>
      </w:pPr>
      <w:r>
        <w:rPr>
          <w:lang w:val="de-AT"/>
        </w:rPr>
        <w:t>Durch diese einfache Regelung werden folgende Probleme gleichzeitig gelöst:</w:t>
      </w:r>
    </w:p>
    <w:p w:rsidR="00302115" w:rsidRDefault="00302115" w:rsidP="00302115">
      <w:pPr>
        <w:pStyle w:val="Listenabsatz"/>
        <w:numPr>
          <w:ilvl w:val="0"/>
          <w:numId w:val="5"/>
        </w:numPr>
        <w:jc w:val="both"/>
        <w:rPr>
          <w:lang w:val="de-AT"/>
        </w:rPr>
      </w:pPr>
      <w:r>
        <w:rPr>
          <w:lang w:val="de-AT"/>
        </w:rPr>
        <w:t xml:space="preserve">Keine Bank kann jemals wieder durch „Kreditausfälle“ Verluste erleiden, da gegengleich die Sichteinlagen (auf Bilanzebene) als Ertrag aufgelöst werden, somit der Aufwand des Forderungsausfalls in voller Höhe neutralisiert wird. </w:t>
      </w:r>
    </w:p>
    <w:p w:rsidR="00302115" w:rsidRDefault="00302115" w:rsidP="00302115">
      <w:pPr>
        <w:pStyle w:val="Listenabsatz"/>
        <w:numPr>
          <w:ilvl w:val="0"/>
          <w:numId w:val="5"/>
        </w:numPr>
        <w:jc w:val="both"/>
        <w:rPr>
          <w:lang w:val="de-AT"/>
        </w:rPr>
      </w:pPr>
      <w:r>
        <w:rPr>
          <w:lang w:val="de-AT"/>
        </w:rPr>
        <w:t xml:space="preserve">Das Kreditrisiko einer Bank reduziert sich dadurch auf </w:t>
      </w:r>
      <w:proofErr w:type="spellStart"/>
      <w:r>
        <w:rPr>
          <w:lang w:val="de-AT"/>
        </w:rPr>
        <w:t>Null</w:t>
      </w:r>
      <w:proofErr w:type="spellEnd"/>
      <w:r>
        <w:rPr>
          <w:lang w:val="de-AT"/>
        </w:rPr>
        <w:t>.</w:t>
      </w:r>
    </w:p>
    <w:p w:rsidR="00302115" w:rsidRDefault="00302115" w:rsidP="00302115">
      <w:pPr>
        <w:pStyle w:val="Listenabsatz"/>
        <w:numPr>
          <w:ilvl w:val="0"/>
          <w:numId w:val="5"/>
        </w:numPr>
        <w:jc w:val="both"/>
        <w:rPr>
          <w:lang w:val="de-AT"/>
        </w:rPr>
      </w:pPr>
      <w:r>
        <w:rPr>
          <w:lang w:val="de-AT"/>
        </w:rPr>
        <w:t>Aus diesem Grund haben Banken ab diesem Zeitpunkt auch keinen Grund mehr Kredite zu verweigern oder übermäßig hohe Sicherheiten zu verlangen.</w:t>
      </w:r>
    </w:p>
    <w:p w:rsidR="00302115" w:rsidRDefault="00302115" w:rsidP="00302115">
      <w:pPr>
        <w:pStyle w:val="Listenabsatz"/>
        <w:numPr>
          <w:ilvl w:val="0"/>
          <w:numId w:val="5"/>
        </w:numPr>
        <w:jc w:val="both"/>
        <w:rPr>
          <w:lang w:val="de-AT"/>
        </w:rPr>
      </w:pPr>
      <w:r>
        <w:rPr>
          <w:lang w:val="de-AT"/>
        </w:rPr>
        <w:t xml:space="preserve">Der Staat beteiligt sich über die Kreditausfälle (und die dann entstehende Eigenkapitalposition „Umlaufsicherungsrücklage“) an der Bank und wird so zum Mitentscheider (auch und v.a. hinsichtlich Kreditvergaben bzw. evtl. sogar bei einer „Geldschöpfung durch Grundeinkommen“). </w:t>
      </w:r>
    </w:p>
    <w:p w:rsidR="00302115" w:rsidRDefault="00302115" w:rsidP="00302115">
      <w:pPr>
        <w:pStyle w:val="Listenabsatz"/>
        <w:numPr>
          <w:ilvl w:val="0"/>
          <w:numId w:val="5"/>
        </w:numPr>
        <w:jc w:val="both"/>
        <w:rPr>
          <w:lang w:val="de-AT"/>
        </w:rPr>
      </w:pPr>
      <w:r>
        <w:rPr>
          <w:lang w:val="de-AT"/>
        </w:rPr>
        <w:t xml:space="preserve">Alle diese Schritte (Bankensanierung + Senkung des Kreditrisikos auf </w:t>
      </w:r>
      <w:proofErr w:type="spellStart"/>
      <w:r>
        <w:rPr>
          <w:lang w:val="de-AT"/>
        </w:rPr>
        <w:t>Null</w:t>
      </w:r>
      <w:proofErr w:type="spellEnd"/>
      <w:r>
        <w:rPr>
          <w:lang w:val="de-AT"/>
        </w:rPr>
        <w:t xml:space="preserve"> + Beteiligung des Staats an den Banken) erfolgen ohne einen einzigen Cent Steuergeld dafür zu benötigen. Nur die Gesetzgebung ist alles, was wir dafür brauchen!</w:t>
      </w:r>
    </w:p>
    <w:p w:rsidR="00302115" w:rsidRDefault="00302115" w:rsidP="00302115">
      <w:pPr>
        <w:jc w:val="both"/>
        <w:rPr>
          <w:lang w:val="de-AT"/>
        </w:rPr>
      </w:pPr>
    </w:p>
    <w:p w:rsidR="00302115" w:rsidRPr="00302115" w:rsidRDefault="00302115" w:rsidP="00302115">
      <w:pPr>
        <w:jc w:val="both"/>
        <w:rPr>
          <w:lang w:val="de-AT"/>
        </w:rPr>
      </w:pPr>
      <w:bookmarkStart w:id="0" w:name="_GoBack"/>
      <w:bookmarkEnd w:id="0"/>
    </w:p>
    <w:sectPr w:rsidR="00302115" w:rsidRPr="0030211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0D" w:rsidRDefault="0070270D" w:rsidP="005B4141">
      <w:pPr>
        <w:spacing w:after="0" w:line="240" w:lineRule="auto"/>
      </w:pPr>
      <w:r>
        <w:separator/>
      </w:r>
    </w:p>
  </w:endnote>
  <w:endnote w:type="continuationSeparator" w:id="0">
    <w:p w:rsidR="0070270D" w:rsidRDefault="0070270D" w:rsidP="005B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814239"/>
      <w:docPartObj>
        <w:docPartGallery w:val="Page Numbers (Bottom of Page)"/>
        <w:docPartUnique/>
      </w:docPartObj>
    </w:sdtPr>
    <w:sdtContent>
      <w:p w:rsidR="00DC7EFF" w:rsidRDefault="00DC7EFF">
        <w:pPr>
          <w:pStyle w:val="Fuzeile"/>
          <w:jc w:val="right"/>
        </w:pPr>
        <w:r>
          <w:fldChar w:fldCharType="begin"/>
        </w:r>
        <w:r>
          <w:instrText>PAGE   \* MERGEFORMAT</w:instrText>
        </w:r>
        <w:r>
          <w:fldChar w:fldCharType="separate"/>
        </w:r>
        <w:r w:rsidR="00302115" w:rsidRPr="00302115">
          <w:rPr>
            <w:noProof/>
            <w:lang w:val="de-DE"/>
          </w:rPr>
          <w:t>2</w:t>
        </w:r>
        <w:r>
          <w:fldChar w:fldCharType="end"/>
        </w:r>
      </w:p>
    </w:sdtContent>
  </w:sdt>
  <w:p w:rsidR="005B4141" w:rsidRDefault="005B41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0D" w:rsidRDefault="0070270D" w:rsidP="005B4141">
      <w:pPr>
        <w:spacing w:after="0" w:line="240" w:lineRule="auto"/>
      </w:pPr>
      <w:r>
        <w:separator/>
      </w:r>
    </w:p>
  </w:footnote>
  <w:footnote w:type="continuationSeparator" w:id="0">
    <w:p w:rsidR="0070270D" w:rsidRDefault="0070270D" w:rsidP="005B4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072C"/>
    <w:multiLevelType w:val="hybridMultilevel"/>
    <w:tmpl w:val="4FD64D6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4505BC"/>
    <w:multiLevelType w:val="hybridMultilevel"/>
    <w:tmpl w:val="EC6205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A92BF2"/>
    <w:multiLevelType w:val="hybridMultilevel"/>
    <w:tmpl w:val="FBE62A0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822073F"/>
    <w:multiLevelType w:val="hybridMultilevel"/>
    <w:tmpl w:val="D42E8F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68890BF5"/>
    <w:multiLevelType w:val="hybridMultilevel"/>
    <w:tmpl w:val="AB904D1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EE"/>
    <w:rsid w:val="00016337"/>
    <w:rsid w:val="00145BBB"/>
    <w:rsid w:val="001C6CF2"/>
    <w:rsid w:val="00262548"/>
    <w:rsid w:val="002E3AE7"/>
    <w:rsid w:val="00302115"/>
    <w:rsid w:val="003267C4"/>
    <w:rsid w:val="0038033C"/>
    <w:rsid w:val="005B4141"/>
    <w:rsid w:val="005C2816"/>
    <w:rsid w:val="0060609A"/>
    <w:rsid w:val="00616627"/>
    <w:rsid w:val="006A5D6D"/>
    <w:rsid w:val="006F6C79"/>
    <w:rsid w:val="0070270D"/>
    <w:rsid w:val="00777D89"/>
    <w:rsid w:val="008B724E"/>
    <w:rsid w:val="008F73EE"/>
    <w:rsid w:val="00A538E0"/>
    <w:rsid w:val="00A86869"/>
    <w:rsid w:val="00AE5769"/>
    <w:rsid w:val="00AE729B"/>
    <w:rsid w:val="00B707CA"/>
    <w:rsid w:val="00B87F18"/>
    <w:rsid w:val="00BC05E8"/>
    <w:rsid w:val="00BF28C9"/>
    <w:rsid w:val="00BF4014"/>
    <w:rsid w:val="00CA415B"/>
    <w:rsid w:val="00CF1306"/>
    <w:rsid w:val="00D017CB"/>
    <w:rsid w:val="00DC7EFF"/>
    <w:rsid w:val="00E24DEE"/>
    <w:rsid w:val="00E35524"/>
    <w:rsid w:val="00F36965"/>
    <w:rsid w:val="00F5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73EE"/>
    <w:pPr>
      <w:ind w:left="720"/>
      <w:contextualSpacing/>
    </w:pPr>
  </w:style>
  <w:style w:type="character" w:styleId="Hyperlink">
    <w:name w:val="Hyperlink"/>
    <w:basedOn w:val="Absatz-Standardschriftart"/>
    <w:uiPriority w:val="99"/>
    <w:unhideWhenUsed/>
    <w:rsid w:val="00BF28C9"/>
    <w:rPr>
      <w:color w:val="0000FF" w:themeColor="hyperlink"/>
      <w:u w:val="single"/>
    </w:rPr>
  </w:style>
  <w:style w:type="paragraph" w:styleId="StandardWeb">
    <w:name w:val="Normal (Web)"/>
    <w:basedOn w:val="Standard"/>
    <w:uiPriority w:val="99"/>
    <w:semiHidden/>
    <w:unhideWhenUsed/>
    <w:rsid w:val="00326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5B41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4141"/>
  </w:style>
  <w:style w:type="paragraph" w:styleId="Fuzeile">
    <w:name w:val="footer"/>
    <w:basedOn w:val="Standard"/>
    <w:link w:val="FuzeileZchn"/>
    <w:uiPriority w:val="99"/>
    <w:unhideWhenUsed/>
    <w:rsid w:val="005B41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73EE"/>
    <w:pPr>
      <w:ind w:left="720"/>
      <w:contextualSpacing/>
    </w:pPr>
  </w:style>
  <w:style w:type="character" w:styleId="Hyperlink">
    <w:name w:val="Hyperlink"/>
    <w:basedOn w:val="Absatz-Standardschriftart"/>
    <w:uiPriority w:val="99"/>
    <w:unhideWhenUsed/>
    <w:rsid w:val="00BF28C9"/>
    <w:rPr>
      <w:color w:val="0000FF" w:themeColor="hyperlink"/>
      <w:u w:val="single"/>
    </w:rPr>
  </w:style>
  <w:style w:type="paragraph" w:styleId="StandardWeb">
    <w:name w:val="Normal (Web)"/>
    <w:basedOn w:val="Standard"/>
    <w:uiPriority w:val="99"/>
    <w:semiHidden/>
    <w:unhideWhenUsed/>
    <w:rsid w:val="00326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5B41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4141"/>
  </w:style>
  <w:style w:type="paragraph" w:styleId="Fuzeile">
    <w:name w:val="footer"/>
    <w:basedOn w:val="Standard"/>
    <w:link w:val="FuzeileZchn"/>
    <w:uiPriority w:val="99"/>
    <w:unhideWhenUsed/>
    <w:rsid w:val="005B41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84679">
      <w:bodyDiv w:val="1"/>
      <w:marLeft w:val="0"/>
      <w:marRight w:val="0"/>
      <w:marTop w:val="0"/>
      <w:marBottom w:val="0"/>
      <w:divBdr>
        <w:top w:val="none" w:sz="0" w:space="0" w:color="auto"/>
        <w:left w:val="none" w:sz="0" w:space="0" w:color="auto"/>
        <w:bottom w:val="none" w:sz="0" w:space="0" w:color="auto"/>
        <w:right w:val="none" w:sz="0" w:space="0" w:color="auto"/>
      </w:divBdr>
    </w:div>
    <w:div w:id="1239941538">
      <w:bodyDiv w:val="1"/>
      <w:marLeft w:val="0"/>
      <w:marRight w:val="0"/>
      <w:marTop w:val="0"/>
      <w:marBottom w:val="0"/>
      <w:divBdr>
        <w:top w:val="none" w:sz="0" w:space="0" w:color="auto"/>
        <w:left w:val="none" w:sz="0" w:space="0" w:color="auto"/>
        <w:bottom w:val="none" w:sz="0" w:space="0" w:color="auto"/>
        <w:right w:val="none" w:sz="0" w:space="0" w:color="auto"/>
      </w:divBdr>
    </w:div>
    <w:div w:id="1519465106">
      <w:bodyDiv w:val="1"/>
      <w:marLeft w:val="0"/>
      <w:marRight w:val="0"/>
      <w:marTop w:val="0"/>
      <w:marBottom w:val="0"/>
      <w:divBdr>
        <w:top w:val="none" w:sz="0" w:space="0" w:color="auto"/>
        <w:left w:val="none" w:sz="0" w:space="0" w:color="auto"/>
        <w:bottom w:val="none" w:sz="0" w:space="0" w:color="auto"/>
        <w:right w:val="none" w:sz="0" w:space="0" w:color="auto"/>
      </w:divBdr>
    </w:div>
    <w:div w:id="2117825851">
      <w:bodyDiv w:val="1"/>
      <w:marLeft w:val="0"/>
      <w:marRight w:val="0"/>
      <w:marTop w:val="0"/>
      <w:marBottom w:val="0"/>
      <w:divBdr>
        <w:top w:val="none" w:sz="0" w:space="0" w:color="auto"/>
        <w:left w:val="none" w:sz="0" w:space="0" w:color="auto"/>
        <w:bottom w:val="none" w:sz="0" w:space="0" w:color="auto"/>
        <w:right w:val="none" w:sz="0" w:space="0" w:color="auto"/>
      </w:divBdr>
      <w:divsChild>
        <w:div w:id="101117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tschaftslexikon24.com/d/debt-equity-swap/debt-equity-swap.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Gast</cp:lastModifiedBy>
  <cp:revision>9</cp:revision>
  <dcterms:created xsi:type="dcterms:W3CDTF">2015-07-12T07:53:00Z</dcterms:created>
  <dcterms:modified xsi:type="dcterms:W3CDTF">2015-07-12T10:18:00Z</dcterms:modified>
</cp:coreProperties>
</file>